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gif" ContentType="image/gi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Style w:val="Style14"/>
          <w:rFonts w:ascii="Arial;quot" w:hAnsi="Arial;quot"/>
          <w:b/>
          <w:color w:val="333333"/>
        </w:rPr>
        <w:t>GG17 CLASS</w:t>
      </w:r>
      <w:r>
        <w:rPr>
          <w:rFonts w:ascii="Arial;quot" w:hAnsi="Arial;quot"/>
          <w:color w:val="333333"/>
        </w:rPr>
        <w:br/>
        <w:t>GG17 Glass entirely conforms to the international standard ISO3583, and is a new special borosilicate glass of excellent chemical and physical properties with a silica content of 80%.It is highly stable in structure and, as a result, has marked mechanical strength and very high resistance against chemical attacks. Further, due to its low linear coefficient of thermal expansion, this glass is capable of withstanding high thermal shock and possesses good moulding ability. It is an excellent material for making laboratory apparatus where external heating is necessary, intricate laboratory glassware and chemical equipments as well as pressure water meter glass.</w:t>
      </w:r>
    </w:p>
    <w:tbl>
      <w:tblPr>
        <w:tblW w:w="5000" w:type="pct"/>
        <w:jc w:val="left"/>
        <w:tblInd w:w="0" w:type="dxa"/>
        <w:tblBorders/>
        <w:tblCellMar>
          <w:top w:w="0" w:type="dxa"/>
          <w:left w:w="0" w:type="dxa"/>
          <w:bottom w:w="0" w:type="dxa"/>
          <w:right w:w="0" w:type="dxa"/>
        </w:tblCellMar>
      </w:tblPr>
      <w:tblGrid>
        <w:gridCol w:w="4818"/>
        <w:gridCol w:w="4819"/>
      </w:tblGrid>
      <w:tr>
        <w:trPr/>
        <w:tc>
          <w:tcPr>
            <w:tcW w:w="9637" w:type="dxa"/>
            <w:gridSpan w:val="2"/>
            <w:tcBorders/>
            <w:shd w:fill="181818" w:val="clear"/>
            <w:vAlign w:val="center"/>
          </w:tcPr>
          <w:p>
            <w:pPr>
              <w:pStyle w:val="Style21"/>
              <w:jc w:val="center"/>
              <w:rPr>
                <w:b/>
                <w:color w:val="FFFFFF"/>
              </w:rPr>
            </w:pPr>
            <w:r>
              <w:rPr>
                <w:b/>
                <w:color w:val="FFFFFF"/>
              </w:rPr>
              <w:t>Principal Physical and Chemical Properties</w:t>
            </w:r>
          </w:p>
        </w:tc>
      </w:tr>
      <w:tr>
        <w:trPr/>
        <w:tc>
          <w:tcPr>
            <w:tcW w:w="4818" w:type="dxa"/>
            <w:tcBorders/>
            <w:shd w:fill="F7F7F7" w:val="clear"/>
            <w:vAlign w:val="center"/>
          </w:tcPr>
          <w:p>
            <w:pPr>
              <w:pStyle w:val="Style21"/>
              <w:jc w:val="center"/>
              <w:rPr/>
            </w:pPr>
            <w:r>
              <w:rPr/>
              <w:t>SiO2 Content</w:t>
            </w:r>
          </w:p>
        </w:tc>
        <w:tc>
          <w:tcPr>
            <w:tcW w:w="4819" w:type="dxa"/>
            <w:tcBorders/>
            <w:shd w:fill="F7F7F7" w:val="clear"/>
            <w:vAlign w:val="center"/>
          </w:tcPr>
          <w:p>
            <w:pPr>
              <w:pStyle w:val="Style21"/>
              <w:jc w:val="center"/>
              <w:rPr/>
            </w:pPr>
            <w:r>
              <w:rPr/>
              <w:t>&gt;80%</w:t>
            </w:r>
          </w:p>
        </w:tc>
      </w:tr>
      <w:tr>
        <w:trPr/>
        <w:tc>
          <w:tcPr>
            <w:tcW w:w="4818" w:type="dxa"/>
            <w:tcBorders/>
            <w:shd w:fill="FBFBFB" w:val="clear"/>
            <w:vAlign w:val="center"/>
          </w:tcPr>
          <w:p>
            <w:pPr>
              <w:pStyle w:val="Style21"/>
              <w:jc w:val="center"/>
              <w:rPr/>
            </w:pPr>
            <w:r>
              <w:rPr/>
              <w:t>Strain Point</w:t>
            </w:r>
          </w:p>
        </w:tc>
        <w:tc>
          <w:tcPr>
            <w:tcW w:w="4819" w:type="dxa"/>
            <w:tcBorders/>
            <w:shd w:fill="FBFBFB" w:val="clear"/>
            <w:vAlign w:val="center"/>
          </w:tcPr>
          <w:p>
            <w:pPr>
              <w:pStyle w:val="Style21"/>
              <w:jc w:val="center"/>
              <w:rPr/>
            </w:pPr>
            <w:r>
              <w:rPr/>
              <w:t>520℃</w:t>
            </w:r>
          </w:p>
        </w:tc>
      </w:tr>
      <w:tr>
        <w:trPr/>
        <w:tc>
          <w:tcPr>
            <w:tcW w:w="4818" w:type="dxa"/>
            <w:tcBorders/>
            <w:shd w:fill="F7F7F7" w:val="clear"/>
            <w:vAlign w:val="center"/>
          </w:tcPr>
          <w:p>
            <w:pPr>
              <w:pStyle w:val="Style21"/>
              <w:jc w:val="center"/>
              <w:rPr/>
            </w:pPr>
            <w:r>
              <w:rPr/>
              <w:t>Annealing Point</w:t>
            </w:r>
          </w:p>
        </w:tc>
        <w:tc>
          <w:tcPr>
            <w:tcW w:w="4819" w:type="dxa"/>
            <w:tcBorders/>
            <w:shd w:fill="F7F7F7" w:val="clear"/>
            <w:vAlign w:val="center"/>
          </w:tcPr>
          <w:p>
            <w:pPr>
              <w:pStyle w:val="Style21"/>
              <w:jc w:val="center"/>
              <w:rPr/>
            </w:pPr>
            <w:r>
              <w:rPr/>
              <w:t>560℃</w:t>
            </w:r>
          </w:p>
        </w:tc>
      </w:tr>
      <w:tr>
        <w:trPr/>
        <w:tc>
          <w:tcPr>
            <w:tcW w:w="4818" w:type="dxa"/>
            <w:tcBorders/>
            <w:shd w:fill="FBFBFB" w:val="clear"/>
            <w:vAlign w:val="center"/>
          </w:tcPr>
          <w:p>
            <w:pPr>
              <w:pStyle w:val="Style21"/>
              <w:jc w:val="center"/>
              <w:rPr/>
            </w:pPr>
            <w:r>
              <w:rPr/>
              <w:t>Softening Point</w:t>
            </w:r>
          </w:p>
        </w:tc>
        <w:tc>
          <w:tcPr>
            <w:tcW w:w="4819" w:type="dxa"/>
            <w:tcBorders/>
            <w:shd w:fill="FBFBFB" w:val="clear"/>
            <w:vAlign w:val="center"/>
          </w:tcPr>
          <w:p>
            <w:pPr>
              <w:pStyle w:val="Style21"/>
              <w:jc w:val="center"/>
              <w:rPr/>
            </w:pPr>
            <w:r>
              <w:rPr/>
              <w:t>820℃</w:t>
            </w:r>
          </w:p>
        </w:tc>
      </w:tr>
      <w:tr>
        <w:trPr/>
        <w:tc>
          <w:tcPr>
            <w:tcW w:w="4818" w:type="dxa"/>
            <w:tcBorders/>
            <w:shd w:fill="F7F7F7" w:val="clear"/>
            <w:vAlign w:val="center"/>
          </w:tcPr>
          <w:p>
            <w:pPr>
              <w:pStyle w:val="Style21"/>
              <w:jc w:val="center"/>
              <w:rPr/>
            </w:pPr>
            <w:r>
              <w:rPr/>
              <w:t>Refractive Index</w:t>
            </w:r>
          </w:p>
        </w:tc>
        <w:tc>
          <w:tcPr>
            <w:tcW w:w="4819" w:type="dxa"/>
            <w:tcBorders/>
            <w:shd w:fill="F7F7F7" w:val="clear"/>
            <w:vAlign w:val="center"/>
          </w:tcPr>
          <w:p>
            <w:pPr>
              <w:pStyle w:val="Style21"/>
              <w:jc w:val="center"/>
              <w:rPr/>
            </w:pPr>
            <w:r>
              <w:rPr/>
              <w:t>1.47</w:t>
            </w:r>
          </w:p>
        </w:tc>
      </w:tr>
      <w:tr>
        <w:trPr/>
        <w:tc>
          <w:tcPr>
            <w:tcW w:w="4818" w:type="dxa"/>
            <w:tcBorders/>
            <w:shd w:fill="FBFBFB" w:val="clear"/>
            <w:vAlign w:val="center"/>
          </w:tcPr>
          <w:p>
            <w:pPr>
              <w:pStyle w:val="Style21"/>
              <w:jc w:val="center"/>
              <w:rPr/>
            </w:pPr>
            <w:r>
              <w:rPr/>
              <w:t>Light Transmission(2mm)</w:t>
            </w:r>
          </w:p>
        </w:tc>
        <w:tc>
          <w:tcPr>
            <w:tcW w:w="4819" w:type="dxa"/>
            <w:tcBorders/>
            <w:shd w:fill="FBFBFB" w:val="clear"/>
            <w:vAlign w:val="center"/>
          </w:tcPr>
          <w:p>
            <w:pPr>
              <w:pStyle w:val="Style21"/>
              <w:jc w:val="center"/>
              <w:rPr/>
            </w:pPr>
            <w:r>
              <w:rPr/>
              <w:t>92%</w:t>
            </w:r>
          </w:p>
        </w:tc>
      </w:tr>
      <w:tr>
        <w:trPr/>
        <w:tc>
          <w:tcPr>
            <w:tcW w:w="4818" w:type="dxa"/>
            <w:tcBorders/>
            <w:shd w:fill="F7F7F7" w:val="clear"/>
            <w:vAlign w:val="center"/>
          </w:tcPr>
          <w:p>
            <w:pPr>
              <w:pStyle w:val="Style21"/>
              <w:jc w:val="center"/>
              <w:rPr/>
            </w:pPr>
            <w:r>
              <w:rPr/>
              <w:t>Elastic Modulus</w:t>
            </w:r>
          </w:p>
        </w:tc>
        <w:tc>
          <w:tcPr>
            <w:tcW w:w="4819" w:type="dxa"/>
            <w:tcBorders/>
            <w:shd w:fill="F7F7F7" w:val="clear"/>
            <w:vAlign w:val="center"/>
          </w:tcPr>
          <w:p>
            <w:pPr>
              <w:pStyle w:val="Style21"/>
              <w:jc w:val="center"/>
              <w:rPr/>
            </w:pPr>
            <w:r>
              <w:rPr/>
              <w:t>67KNmm-2</w:t>
            </w:r>
          </w:p>
        </w:tc>
      </w:tr>
      <w:tr>
        <w:trPr/>
        <w:tc>
          <w:tcPr>
            <w:tcW w:w="4818" w:type="dxa"/>
            <w:tcBorders/>
            <w:shd w:fill="FBFBFB" w:val="clear"/>
            <w:vAlign w:val="center"/>
          </w:tcPr>
          <w:p>
            <w:pPr>
              <w:pStyle w:val="Style21"/>
              <w:jc w:val="center"/>
              <w:rPr/>
            </w:pPr>
            <w:r>
              <w:rPr/>
              <w:t>Tensile Strength</w:t>
            </w:r>
          </w:p>
        </w:tc>
        <w:tc>
          <w:tcPr>
            <w:tcW w:w="4819" w:type="dxa"/>
            <w:tcBorders/>
            <w:shd w:fill="FBFBFB" w:val="clear"/>
            <w:vAlign w:val="center"/>
          </w:tcPr>
          <w:p>
            <w:pPr>
              <w:pStyle w:val="Style21"/>
              <w:jc w:val="center"/>
              <w:rPr/>
            </w:pPr>
            <w:r>
              <w:rPr/>
              <w:t>40-120Nmm-2</w:t>
            </w:r>
          </w:p>
        </w:tc>
      </w:tr>
      <w:tr>
        <w:trPr/>
        <w:tc>
          <w:tcPr>
            <w:tcW w:w="4818" w:type="dxa"/>
            <w:tcBorders/>
            <w:shd w:fill="F7F7F7" w:val="clear"/>
            <w:vAlign w:val="center"/>
          </w:tcPr>
          <w:p>
            <w:pPr>
              <w:pStyle w:val="Style21"/>
              <w:jc w:val="center"/>
              <w:rPr/>
            </w:pPr>
            <w:r>
              <w:rPr/>
              <w:t>Glass Stress Optical Coefficient</w:t>
            </w:r>
          </w:p>
        </w:tc>
        <w:tc>
          <w:tcPr>
            <w:tcW w:w="4819" w:type="dxa"/>
            <w:tcBorders/>
            <w:shd w:fill="F7F7F7" w:val="clear"/>
            <w:vAlign w:val="center"/>
          </w:tcPr>
          <w:p>
            <w:pPr>
              <w:pStyle w:val="Style21"/>
              <w:jc w:val="center"/>
              <w:rPr/>
            </w:pPr>
            <w:r>
              <w:rPr/>
              <w:t>3.8*10-6mm2/N</w:t>
            </w:r>
          </w:p>
        </w:tc>
      </w:tr>
      <w:tr>
        <w:trPr/>
        <w:tc>
          <w:tcPr>
            <w:tcW w:w="4818" w:type="dxa"/>
            <w:tcBorders/>
            <w:shd w:fill="FBFBFB" w:val="clear"/>
            <w:vAlign w:val="center"/>
          </w:tcPr>
          <w:p>
            <w:pPr>
              <w:pStyle w:val="Style21"/>
              <w:jc w:val="center"/>
              <w:rPr/>
            </w:pPr>
            <w:r>
              <w:rPr/>
              <w:t>Processing Temperature(104dpas)</w:t>
            </w:r>
          </w:p>
        </w:tc>
        <w:tc>
          <w:tcPr>
            <w:tcW w:w="4819" w:type="dxa"/>
            <w:tcBorders/>
            <w:shd w:fill="FBFBFB" w:val="clear"/>
            <w:vAlign w:val="center"/>
          </w:tcPr>
          <w:p>
            <w:pPr>
              <w:pStyle w:val="Style21"/>
              <w:jc w:val="center"/>
              <w:rPr/>
            </w:pPr>
            <w:r>
              <w:rPr/>
              <w:t>1220℃</w:t>
            </w:r>
          </w:p>
        </w:tc>
      </w:tr>
      <w:tr>
        <w:trPr/>
        <w:tc>
          <w:tcPr>
            <w:tcW w:w="4818" w:type="dxa"/>
            <w:tcBorders/>
            <w:shd w:fill="F7F7F7" w:val="clear"/>
            <w:vAlign w:val="center"/>
          </w:tcPr>
          <w:p>
            <w:pPr>
              <w:pStyle w:val="Style21"/>
              <w:jc w:val="center"/>
              <w:rPr/>
            </w:pPr>
            <w:r>
              <w:rPr/>
              <w:t>Linear Coefficient of Expansion(20-300℃)</w:t>
            </w:r>
          </w:p>
        </w:tc>
        <w:tc>
          <w:tcPr>
            <w:tcW w:w="4819" w:type="dxa"/>
            <w:tcBorders/>
            <w:shd w:fill="F7F7F7" w:val="clear"/>
            <w:vAlign w:val="center"/>
          </w:tcPr>
          <w:p>
            <w:pPr>
              <w:pStyle w:val="Style21"/>
              <w:jc w:val="center"/>
              <w:rPr/>
            </w:pPr>
            <w:r>
              <w:rPr/>
              <w:t>3.3*10-6K-1</w:t>
            </w:r>
          </w:p>
        </w:tc>
      </w:tr>
      <w:tr>
        <w:trPr/>
        <w:tc>
          <w:tcPr>
            <w:tcW w:w="4818" w:type="dxa"/>
            <w:tcBorders/>
            <w:shd w:fill="FBFBFB" w:val="clear"/>
            <w:vAlign w:val="center"/>
          </w:tcPr>
          <w:p>
            <w:pPr>
              <w:pStyle w:val="Style21"/>
              <w:jc w:val="center"/>
              <w:rPr/>
            </w:pPr>
            <w:r>
              <w:rPr/>
              <w:t>Density(20℃)</w:t>
            </w:r>
          </w:p>
        </w:tc>
        <w:tc>
          <w:tcPr>
            <w:tcW w:w="4819" w:type="dxa"/>
            <w:tcBorders/>
            <w:shd w:fill="FBFBFB" w:val="clear"/>
            <w:vAlign w:val="center"/>
          </w:tcPr>
          <w:p>
            <w:pPr>
              <w:pStyle w:val="Style21"/>
              <w:jc w:val="center"/>
              <w:rPr/>
            </w:pPr>
            <w:r>
              <w:rPr/>
              <w:t>2.23gcm-1</w:t>
            </w:r>
          </w:p>
        </w:tc>
      </w:tr>
      <w:tr>
        <w:trPr/>
        <w:tc>
          <w:tcPr>
            <w:tcW w:w="4818" w:type="dxa"/>
            <w:tcBorders/>
            <w:shd w:fill="F7F7F7" w:val="clear"/>
            <w:vAlign w:val="center"/>
          </w:tcPr>
          <w:p>
            <w:pPr>
              <w:pStyle w:val="Style21"/>
              <w:jc w:val="center"/>
              <w:rPr/>
            </w:pPr>
            <w:r>
              <w:rPr/>
              <w:t>Specific Heat</w:t>
            </w:r>
          </w:p>
        </w:tc>
        <w:tc>
          <w:tcPr>
            <w:tcW w:w="4819" w:type="dxa"/>
            <w:tcBorders/>
            <w:shd w:fill="F7F7F7" w:val="clear"/>
            <w:vAlign w:val="center"/>
          </w:tcPr>
          <w:p>
            <w:pPr>
              <w:pStyle w:val="Style21"/>
              <w:jc w:val="center"/>
              <w:rPr/>
            </w:pPr>
            <w:r>
              <w:rPr/>
              <w:t>0.9jg-1K-1</w:t>
            </w:r>
          </w:p>
        </w:tc>
      </w:tr>
      <w:tr>
        <w:trPr/>
        <w:tc>
          <w:tcPr>
            <w:tcW w:w="4818" w:type="dxa"/>
            <w:tcBorders/>
            <w:shd w:fill="FBFBFB" w:val="clear"/>
            <w:vAlign w:val="center"/>
          </w:tcPr>
          <w:p>
            <w:pPr>
              <w:pStyle w:val="Style21"/>
              <w:jc w:val="center"/>
              <w:rPr/>
            </w:pPr>
            <w:r>
              <w:rPr/>
              <w:t>Thermal Conductivity</w:t>
            </w:r>
          </w:p>
        </w:tc>
        <w:tc>
          <w:tcPr>
            <w:tcW w:w="4819" w:type="dxa"/>
            <w:tcBorders/>
            <w:shd w:fill="FBFBFB" w:val="clear"/>
            <w:vAlign w:val="center"/>
          </w:tcPr>
          <w:p>
            <w:pPr>
              <w:pStyle w:val="Style21"/>
              <w:jc w:val="center"/>
              <w:rPr/>
            </w:pPr>
            <w:r>
              <w:rPr/>
              <w:t>1.2Wm-1K-1</w:t>
            </w:r>
          </w:p>
        </w:tc>
      </w:tr>
      <w:tr>
        <w:trPr/>
        <w:tc>
          <w:tcPr>
            <w:tcW w:w="4818" w:type="dxa"/>
            <w:tcBorders/>
            <w:shd w:fill="F7F7F7" w:val="clear"/>
            <w:vAlign w:val="center"/>
          </w:tcPr>
          <w:p>
            <w:pPr>
              <w:pStyle w:val="Style21"/>
              <w:jc w:val="center"/>
              <w:rPr/>
            </w:pPr>
            <w:r>
              <w:rPr/>
              <w:t>Hydrolytic Resistance(ISO 719)</w:t>
            </w:r>
          </w:p>
        </w:tc>
        <w:tc>
          <w:tcPr>
            <w:tcW w:w="4819" w:type="dxa"/>
            <w:tcBorders/>
            <w:shd w:fill="F7F7F7" w:val="clear"/>
            <w:vAlign w:val="center"/>
          </w:tcPr>
          <w:p>
            <w:pPr>
              <w:pStyle w:val="Style21"/>
              <w:jc w:val="center"/>
              <w:rPr/>
            </w:pPr>
            <w:r>
              <w:rPr/>
              <w:t>Grade 1</w:t>
            </w:r>
          </w:p>
        </w:tc>
      </w:tr>
      <w:tr>
        <w:trPr/>
        <w:tc>
          <w:tcPr>
            <w:tcW w:w="4818" w:type="dxa"/>
            <w:tcBorders/>
            <w:shd w:fill="FBFBFB" w:val="clear"/>
            <w:vAlign w:val="center"/>
          </w:tcPr>
          <w:p>
            <w:pPr>
              <w:pStyle w:val="Style21"/>
              <w:jc w:val="center"/>
              <w:rPr/>
            </w:pPr>
            <w:r>
              <w:rPr/>
              <w:t>Acid Resistance(ISO 195)</w:t>
            </w:r>
          </w:p>
        </w:tc>
        <w:tc>
          <w:tcPr>
            <w:tcW w:w="4819" w:type="dxa"/>
            <w:tcBorders/>
            <w:shd w:fill="FBFBFB" w:val="clear"/>
            <w:vAlign w:val="center"/>
          </w:tcPr>
          <w:p>
            <w:pPr>
              <w:pStyle w:val="Style21"/>
              <w:jc w:val="center"/>
              <w:rPr/>
            </w:pPr>
            <w:r>
              <w:rPr/>
              <w:t>Grade 1</w:t>
            </w:r>
          </w:p>
        </w:tc>
      </w:tr>
      <w:tr>
        <w:trPr/>
        <w:tc>
          <w:tcPr>
            <w:tcW w:w="4818" w:type="dxa"/>
            <w:tcBorders/>
            <w:shd w:fill="F7F7F7" w:val="clear"/>
            <w:vAlign w:val="center"/>
          </w:tcPr>
          <w:p>
            <w:pPr>
              <w:pStyle w:val="Style21"/>
              <w:jc w:val="center"/>
              <w:rPr/>
            </w:pPr>
            <w:r>
              <w:rPr/>
              <w:t>Alkali Resistance(ISO 695)</w:t>
            </w:r>
          </w:p>
        </w:tc>
        <w:tc>
          <w:tcPr>
            <w:tcW w:w="4819" w:type="dxa"/>
            <w:tcBorders/>
            <w:shd w:fill="F7F7F7" w:val="clear"/>
            <w:vAlign w:val="center"/>
          </w:tcPr>
          <w:p>
            <w:pPr>
              <w:pStyle w:val="Style21"/>
              <w:jc w:val="center"/>
              <w:rPr/>
            </w:pPr>
            <w:r>
              <w:rPr/>
              <w:t>Grade 2</w:t>
            </w:r>
          </w:p>
        </w:tc>
      </w:tr>
      <w:tr>
        <w:trPr/>
        <w:tc>
          <w:tcPr>
            <w:tcW w:w="4818" w:type="dxa"/>
            <w:tcBorders/>
            <w:shd w:fill="FBFBFB" w:val="clear"/>
            <w:vAlign w:val="center"/>
          </w:tcPr>
          <w:p>
            <w:pPr>
              <w:pStyle w:val="Style21"/>
              <w:jc w:val="center"/>
              <w:rPr/>
            </w:pPr>
            <w:r>
              <w:rPr/>
              <w:t>Thermal Shock Resistance Rod6*30mm</w:t>
            </w:r>
          </w:p>
        </w:tc>
        <w:tc>
          <w:tcPr>
            <w:tcW w:w="4819" w:type="dxa"/>
            <w:tcBorders/>
            <w:shd w:fill="FBFBFB" w:val="clear"/>
            <w:vAlign w:val="center"/>
          </w:tcPr>
          <w:p>
            <w:pPr>
              <w:pStyle w:val="Style21"/>
              <w:jc w:val="center"/>
              <w:rPr/>
            </w:pPr>
            <w:r>
              <w:rPr/>
              <w:t>300℃</w:t>
            </w:r>
          </w:p>
        </w:tc>
      </w:tr>
    </w:tbl>
    <w:p>
      <w:pPr>
        <w:pStyle w:val="Style17"/>
        <w:ind w:left="0" w:right="0" w:hanging="0"/>
        <w:rPr/>
      </w:pPr>
      <w:r>
        <w:rPr>
          <w:rStyle w:val="Style14"/>
          <w:rFonts w:ascii="Arial;quot" w:hAnsi="Arial;quot"/>
          <w:b/>
          <w:color w:val="333333"/>
        </w:rPr>
        <w:t>Some Directions on GG17 Glass</w:t>
      </w:r>
    </w:p>
    <w:p>
      <w:pPr>
        <w:pStyle w:val="Style17"/>
        <w:numPr>
          <w:ilvl w:val="0"/>
          <w:numId w:val="1"/>
        </w:numPr>
        <w:tabs>
          <w:tab w:val="left" w:pos="0" w:leader="none"/>
        </w:tabs>
        <w:spacing w:before="0" w:after="150"/>
        <w:ind w:left="707" w:hanging="283"/>
        <w:rPr>
          <w:color w:val="333333"/>
        </w:rPr>
      </w:pPr>
      <w:r>
        <w:rPr>
          <w:rFonts w:ascii="Arial;quot" w:hAnsi="Arial;quot"/>
          <w:color w:val="333333"/>
        </w:rPr>
        <w:t>If GG17 Glassware if to be subjected to prolonged heating or pressure, the maximum SAFE operating temperature should not exceed its strain point(520℃)</w:t>
      </w:r>
      <w:r>
        <w:rPr>
          <w:rFonts w:eastAsia="Arial;quot"/>
          <w:color w:val="333333"/>
        </w:rPr>
        <w:t>。</w:t>
      </w:r>
      <w:r>
        <w:rPr>
          <w:rFonts w:ascii="Arial;quot" w:hAnsi="Arial;quot"/>
          <w:color w:val="333333"/>
        </w:rPr>
        <w:t xml:space="preserve">However, GG17 Glassware is not apt to deform when heated up to its annealing point, and if property supported and not under high internal pressure, it can be heated up to a temperature of 600℃ for a relatively short period of time. In such case, the apparatus should be cooled down slowly and uniformly so as to reduce the possibility of strain. </w:t>
      </w:r>
    </w:p>
    <w:p>
      <w:pPr>
        <w:pStyle w:val="Style17"/>
        <w:numPr>
          <w:ilvl w:val="0"/>
          <w:numId w:val="1"/>
        </w:numPr>
        <w:tabs>
          <w:tab w:val="left" w:pos="0" w:leader="none"/>
        </w:tabs>
        <w:spacing w:before="0" w:after="150"/>
        <w:ind w:left="707" w:hanging="283"/>
        <w:rPr>
          <w:color w:val="333333"/>
        </w:rPr>
      </w:pPr>
      <w:r>
        <w:rPr>
          <w:rFonts w:ascii="Arial;quot" w:hAnsi="Arial;quot"/>
          <w:color w:val="333333"/>
        </w:rPr>
        <w:t>The formula for SAFE operating pressure of GG17 Glass tubes(at 25℃)</w:t>
      </w:r>
      <w:r>
        <w:rPr>
          <w:rFonts w:eastAsia="Arial;quot"/>
          <w:color w:val="333333"/>
        </w:rPr>
        <w:t>：</w:t>
      </w:r>
      <w:r>
        <w:rPr>
          <w:rFonts w:ascii="Arial;quot" w:hAnsi="Arial;quot"/>
          <w:color w:val="333333"/>
        </w:rPr>
        <w:t xml:space="preserve">P=140T/D (P-SAFE operating pressure (kg/cm); T-thickness of glass tube (mm); D-inner diameter of glass tube (mm).The above formula shall not be applied for glass tubes with flat bottom. </w:t>
      </w:r>
    </w:p>
    <w:p>
      <w:pPr>
        <w:pStyle w:val="Style17"/>
        <w:spacing w:before="0" w:after="0"/>
        <w:rPr/>
      </w:pPr>
      <w:r>
        <w:rPr>
          <w:rStyle w:val="Style14"/>
          <w:rFonts w:ascii="Arial;quot" w:hAnsi="Arial;quot"/>
          <w:b/>
          <w:color w:val="333333"/>
        </w:rPr>
        <w:t>The chemical composition of GG17 Glass</w:t>
      </w:r>
      <w:r>
        <w:rPr>
          <w:rStyle w:val="Style14"/>
          <w:rFonts w:eastAsia="Arial;quot"/>
          <w:b/>
          <w:color w:val="333333"/>
        </w:rPr>
        <w:t>：</w:t>
      </w:r>
      <w:r>
        <w:rPr>
          <w:rStyle w:val="Style14"/>
          <w:rFonts w:ascii="Arial;quot" w:hAnsi="Arial;quot"/>
          <w:b/>
          <w:color w:val="333333"/>
        </w:rPr>
        <w:t xml:space="preserve">(%) </w:t>
      </w:r>
    </w:p>
    <w:p>
      <w:pPr>
        <w:pStyle w:val="Normal"/>
        <w:rPr/>
      </w:pPr>
      <w:r>
        <w:rPr/>
        <w:drawing>
          <wp:anchor behindDoc="0" distT="0" distB="0" distL="0" distR="0" simplePos="0" locked="0" layoutInCell="1" allowOverlap="1" relativeHeight="2">
            <wp:simplePos x="0" y="0"/>
            <wp:positionH relativeFrom="column">
              <wp:align>center</wp:align>
            </wp:positionH>
            <wp:positionV relativeFrom="paragraph">
              <wp:posOffset>635</wp:posOffset>
            </wp:positionV>
            <wp:extent cx="3505200" cy="409575"/>
            <wp:effectExtent l="0" t="0" r="0" b="0"/>
            <wp:wrapSquare wrapText="largest"/>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505200" cy="409575"/>
                    </a:xfrm>
                    <a:prstGeom prst="rect">
                      <a:avLst/>
                    </a:prstGeom>
                  </pic:spPr>
                </pic:pic>
              </a:graphicData>
            </a:graphic>
          </wp:anchor>
        </w:drawing>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OpenSymbol">
    <w:altName w:val="Arial Unicode MS"/>
    <w:charset w:val="02"/>
    <w:family w:val="auto"/>
    <w:pitch w:val="default"/>
  </w:font>
  <w:font w:name="Liberation Sans">
    <w:altName w:val="Arial"/>
    <w:charset w:val="cc"/>
    <w:family w:val="swiss"/>
    <w:pitch w:val="variable"/>
  </w:font>
  <w:font w:name="Arial">
    <w:altName w:val="quot"/>
    <w:charset w:val="cc"/>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sz w:val="24"/>
      <w:szCs w:val="24"/>
      <w:lang w:val="ru-RU" w:eastAsia="zh-CN" w:bidi="hi-IN"/>
    </w:rPr>
  </w:style>
  <w:style w:type="character" w:styleId="Style14">
    <w:name w:val="Выделение жирным"/>
    <w:qFormat/>
    <w:rPr>
      <w:b/>
      <w:bCs/>
    </w:rPr>
  </w:style>
  <w:style w:type="character" w:styleId="Style15">
    <w:name w:val="Маркеры списка"/>
    <w:qFormat/>
    <w:rPr>
      <w:rFonts w:ascii="OpenSymbol" w:hAnsi="OpenSymbol" w:eastAsia="OpenSymbol" w:cs="OpenSymbol"/>
    </w:rPr>
  </w:style>
  <w:style w:type="paragraph" w:styleId="Style16">
    <w:name w:val="Заголовок"/>
    <w:basedOn w:val="Normal"/>
    <w:next w:val="Style17"/>
    <w:qFormat/>
    <w:pPr>
      <w:keepNext/>
      <w:spacing w:before="240" w:after="120"/>
    </w:pPr>
    <w:rPr>
      <w:rFonts w:ascii="Liberation Sans" w:hAnsi="Liberation Sans" w:eastAsia="Microsoft YaHei" w:cs="Arial"/>
      <w:sz w:val="28"/>
      <w:szCs w:val="28"/>
    </w:rPr>
  </w:style>
  <w:style w:type="paragraph" w:styleId="Style17">
    <w:name w:val="Body Text"/>
    <w:basedOn w:val="Normal"/>
    <w:pPr>
      <w:spacing w:lineRule="auto" w:line="288" w:before="0" w:after="140"/>
    </w:pPr>
    <w:rPr/>
  </w:style>
  <w:style w:type="paragraph" w:styleId="Style18">
    <w:name w:val="List"/>
    <w:basedOn w:val="Style17"/>
    <w:pPr/>
    <w:rPr>
      <w:rFonts w:cs="Arial"/>
    </w:rPr>
  </w:style>
  <w:style w:type="paragraph" w:styleId="Style19">
    <w:name w:val="Caption"/>
    <w:basedOn w:val="Normal"/>
    <w:qFormat/>
    <w:pPr>
      <w:suppressLineNumbers/>
      <w:spacing w:before="120" w:after="120"/>
    </w:pPr>
    <w:rPr>
      <w:rFonts w:cs="Arial"/>
      <w:i/>
      <w:iCs/>
      <w:sz w:val="24"/>
      <w:szCs w:val="24"/>
    </w:rPr>
  </w:style>
  <w:style w:type="paragraph" w:styleId="Style20">
    <w:name w:val="Указатель"/>
    <w:basedOn w:val="Normal"/>
    <w:qFormat/>
    <w:pPr>
      <w:suppressLineNumbers/>
    </w:pPr>
    <w:rPr>
      <w:rFonts w:cs="Arial"/>
    </w:rPr>
  </w:style>
  <w:style w:type="paragraph" w:styleId="Style21">
    <w:name w:val="Содержимое таблицы"/>
    <w:basedOn w:val="Normal"/>
    <w:qFormat/>
    <w:pPr>
      <w:suppressLineNumbers/>
    </w:pPr>
    <w:rPr/>
  </w:style>
  <w:style w:type="paragraph" w:styleId="Style22">
    <w:name w:val="Заголовок таблицы"/>
    <w:basedOn w:val="Style21"/>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6</TotalTime>
  <Application>LibreOffice/5.3.3.2$Windows_x86 LibreOffice_project/3d9a8b4b4e538a85e0782bd6c2d430bafe583448</Application>
  <Pages>1</Pages>
  <Words>312</Words>
  <Characters>1789</Characters>
  <CharactersWithSpaces>2054</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2019-11-03T11:18:35Z</dcterms:created>
  <dc:creator/>
  <dc:description/>
  <dc:language>ru-RU</dc:language>
  <cp:lastModifiedBy/>
  <dcterms:modified xsi:type="dcterms:W3CDTF">2019-11-03T11:25:07Z</dcterms:modified>
  <cp:revision>1</cp:revision>
  <dc:subject/>
  <dc:title/>
</cp:coreProperties>
</file>